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7DD4A8">
      <w:pPr>
        <w:jc w:val="center"/>
        <w:rPr>
          <w:spacing w:val="-14"/>
        </w:rPr>
      </w:pPr>
      <w:r>
        <w:rPr>
          <w:rFonts w:hint="eastAsia" w:ascii="华文中宋" w:hAnsi="华文中宋" w:eastAsia="华文中宋" w:cs="华文中宋"/>
          <w:spacing w:val="3"/>
          <w:sz w:val="43"/>
          <w:szCs w:val="43"/>
          <w:lang w:val="en-US" w:eastAsia="zh-CN"/>
        </w:rPr>
        <w:t>2027</w:t>
      </w:r>
      <w:r>
        <w:rPr>
          <w:rFonts w:ascii="华文中宋" w:hAnsi="华文中宋" w:eastAsia="华文中宋" w:cs="华文中宋"/>
          <w:spacing w:val="3"/>
          <w:sz w:val="43"/>
          <w:szCs w:val="43"/>
        </w:rPr>
        <w:t>年</w:t>
      </w:r>
      <w:r>
        <w:rPr>
          <w:rFonts w:hint="eastAsia" w:ascii="华文中宋" w:hAnsi="华文中宋" w:eastAsia="华文中宋" w:cs="华文中宋"/>
          <w:spacing w:val="3"/>
          <w:sz w:val="43"/>
          <w:szCs w:val="43"/>
          <w:lang w:val="en-US" w:eastAsia="zh-CN"/>
        </w:rPr>
        <w:t>度</w:t>
      </w:r>
      <w:r>
        <w:rPr>
          <w:rFonts w:ascii="华文中宋" w:hAnsi="华文中宋" w:eastAsia="华文中宋" w:cs="华文中宋"/>
          <w:spacing w:val="3"/>
          <w:sz w:val="43"/>
          <w:szCs w:val="43"/>
        </w:rPr>
        <w:t>新增资产配置预算</w:t>
      </w:r>
      <w:r>
        <w:rPr>
          <w:rFonts w:hint="eastAsia" w:ascii="华文中宋" w:hAnsi="华文中宋" w:eastAsia="华文中宋" w:cs="华文中宋"/>
          <w:spacing w:val="5"/>
          <w:sz w:val="43"/>
          <w:szCs w:val="43"/>
          <w:lang w:val="en-US" w:eastAsia="zh-CN"/>
        </w:rPr>
        <w:t>填</w:t>
      </w:r>
      <w:r>
        <w:rPr>
          <w:rFonts w:ascii="华文中宋" w:hAnsi="华文中宋" w:eastAsia="华文中宋" w:cs="华文中宋"/>
          <w:spacing w:val="5"/>
          <w:sz w:val="43"/>
          <w:szCs w:val="43"/>
        </w:rPr>
        <w:t>报</w:t>
      </w:r>
      <w:r>
        <w:rPr>
          <w:rFonts w:hint="eastAsia" w:ascii="华文中宋" w:hAnsi="华文中宋" w:eastAsia="华文中宋" w:cs="华文中宋"/>
          <w:spacing w:val="5"/>
          <w:sz w:val="43"/>
          <w:szCs w:val="43"/>
          <w:lang w:val="en-US" w:eastAsia="zh-CN"/>
        </w:rPr>
        <w:t>指南</w:t>
      </w:r>
    </w:p>
    <w:p w14:paraId="74C14E6A">
      <w:pPr>
        <w:pStyle w:val="2"/>
        <w:numPr>
          <w:ilvl w:val="0"/>
          <w:numId w:val="0"/>
        </w:numPr>
        <w:spacing w:before="192" w:line="219" w:lineRule="auto"/>
        <w:jc w:val="both"/>
        <w:rPr>
          <w:rFonts w:hint="default" w:ascii="仿宋_GB2312" w:hAnsi="仿宋_GB2312" w:eastAsia="仿宋_GB2312" w:cs="仿宋_GB2312"/>
          <w:b/>
          <w:bCs/>
          <w:spacing w:val="-14"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/>
          <w:bCs/>
          <w:spacing w:val="-14"/>
          <w:sz w:val="32"/>
          <w:szCs w:val="32"/>
          <w:lang w:val="en-US" w:eastAsia="zh-CN"/>
        </w:rPr>
        <w:t>一、具体步骤</w:t>
      </w:r>
    </w:p>
    <w:p w14:paraId="5AA320B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9" w:line="560" w:lineRule="exact"/>
        <w:ind w:firstLine="672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  <w:lang w:val="en-US" w:eastAsia="zh-CN"/>
        </w:rPr>
        <w:t>1.进入网上办事大厅——资产管理系统。</w:t>
      </w:r>
    </w:p>
    <w:p w14:paraId="0CFD3FE0">
      <w:pPr>
        <w:pStyle w:val="2"/>
        <w:numPr>
          <w:ilvl w:val="0"/>
          <w:numId w:val="0"/>
        </w:numPr>
        <w:spacing w:before="192" w:line="219" w:lineRule="auto"/>
        <w:jc w:val="center"/>
      </w:pPr>
      <w:r>
        <w:drawing>
          <wp:inline distT="0" distB="0" distL="114300" distR="114300">
            <wp:extent cx="5269230" cy="3034030"/>
            <wp:effectExtent l="0" t="0" r="7620" b="13970"/>
            <wp:docPr id="27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03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FF461B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9" w:line="560" w:lineRule="exact"/>
        <w:ind w:firstLine="672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  <w:lang w:val="en-US" w:eastAsia="zh-CN"/>
        </w:rPr>
        <w:t>选择“配置计划——配置一上——一上申请——配置申请——下一年度配置计划审批表”。</w:t>
      </w:r>
    </w:p>
    <w:p w14:paraId="0D4305E4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9" w:line="24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  <w:lang w:val="en-US" w:eastAsia="zh-CN"/>
        </w:rPr>
      </w:pPr>
      <w:r>
        <w:drawing>
          <wp:inline distT="0" distB="0" distL="114300" distR="114300">
            <wp:extent cx="3850005" cy="2448560"/>
            <wp:effectExtent l="0" t="0" r="17145" b="8890"/>
            <wp:docPr id="2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50005" cy="2448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0F1C44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9" w:line="24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  <w:lang w:val="en-US" w:eastAsia="zh-CN"/>
        </w:rPr>
      </w:pPr>
    </w:p>
    <w:p w14:paraId="00F1C37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9"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  <w:lang w:val="en-US" w:eastAsia="zh-CN"/>
        </w:rPr>
      </w:pPr>
    </w:p>
    <w:p w14:paraId="26D4F45A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9"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  <w:lang w:val="en-US" w:eastAsia="zh-CN"/>
        </w:rPr>
      </w:pPr>
    </w:p>
    <w:p w14:paraId="4943541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9"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  <w:lang w:val="en-US" w:eastAsia="zh-CN"/>
        </w:rPr>
      </w:pPr>
    </w:p>
    <w:p w14:paraId="46925194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9"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  <w:lang w:val="en-US" w:eastAsia="zh-CN"/>
        </w:rPr>
      </w:pPr>
    </w:p>
    <w:p w14:paraId="16097CB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9"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  <w:lang w:val="en-US" w:eastAsia="zh-CN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467995</wp:posOffset>
            </wp:positionV>
            <wp:extent cx="5272405" cy="3032760"/>
            <wp:effectExtent l="0" t="0" r="4445" b="15240"/>
            <wp:wrapNone/>
            <wp:docPr id="34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03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-2243455</wp:posOffset>
            </wp:positionV>
            <wp:extent cx="4725035" cy="2631440"/>
            <wp:effectExtent l="0" t="0" r="18415" b="16510"/>
            <wp:wrapNone/>
            <wp:docPr id="33" name="图片 33" descr="b222bc02-3242-4bcd-b8b0-6fdad4d56fd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b222bc02-3242-4bcd-b8b0-6fdad4d56fd8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25035" cy="2631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2979E64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9"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  <w:lang w:val="en-US" w:eastAsia="zh-CN"/>
        </w:rPr>
      </w:pPr>
    </w:p>
    <w:p w14:paraId="25B4C4C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9"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  <w:lang w:val="en-US" w:eastAsia="zh-CN"/>
        </w:rPr>
      </w:pPr>
    </w:p>
    <w:p w14:paraId="1847D2D8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9"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  <w:lang w:val="en-US" w:eastAsia="zh-CN"/>
        </w:rPr>
      </w:pPr>
    </w:p>
    <w:p w14:paraId="5BBD08D8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9" w:line="560" w:lineRule="exact"/>
        <w:textAlignment w:val="auto"/>
        <w:rPr>
          <w:rFonts w:ascii="宋体" w:hAnsi="宋体" w:eastAsia="宋体" w:cs="宋体"/>
          <w:sz w:val="24"/>
          <w:szCs w:val="24"/>
        </w:rPr>
      </w:pPr>
    </w:p>
    <w:p w14:paraId="7872E83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9" w:line="56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3F4ABDED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9" w:line="56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3BD45921">
      <w:pPr>
        <w:pStyle w:val="2"/>
        <w:numPr>
          <w:ilvl w:val="0"/>
          <w:numId w:val="0"/>
        </w:numPr>
        <w:spacing w:before="273" w:line="318" w:lineRule="auto"/>
        <w:ind w:right="252" w:rightChars="0"/>
        <w:jc w:val="both"/>
      </w:pPr>
    </w:p>
    <w:p w14:paraId="56669EE1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9" w:line="224" w:lineRule="auto"/>
        <w:ind w:firstLine="672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  <w:lang w:val="en-US" w:eastAsia="zh-CN"/>
        </w:rPr>
        <w:t>3.点击“添加明细”。</w:t>
      </w:r>
    </w:p>
    <w:p w14:paraId="03FCCD72">
      <w:pPr>
        <w:pStyle w:val="2"/>
        <w:numPr>
          <w:ilvl w:val="0"/>
          <w:numId w:val="0"/>
        </w:numPr>
        <w:spacing w:before="189" w:line="222" w:lineRule="auto"/>
        <w:rPr>
          <w:rFonts w:hint="eastAsia" w:ascii="仿宋_GB2312" w:hAnsi="仿宋_GB2312" w:eastAsia="仿宋_GB2312" w:cs="仿宋_GB2312"/>
          <w:b/>
          <w:bCs/>
          <w:spacing w:val="8"/>
          <w:sz w:val="32"/>
          <w:szCs w:val="32"/>
          <w:lang w:eastAsia="zh-CN"/>
        </w:rPr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-349885</wp:posOffset>
            </wp:positionH>
            <wp:positionV relativeFrom="paragraph">
              <wp:posOffset>130175</wp:posOffset>
            </wp:positionV>
            <wp:extent cx="6156960" cy="2437130"/>
            <wp:effectExtent l="0" t="0" r="15240" b="1270"/>
            <wp:wrapNone/>
            <wp:docPr id="35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56960" cy="2437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b/>
          <w:bCs/>
          <w:spacing w:val="8"/>
          <w:sz w:val="32"/>
          <w:szCs w:val="32"/>
          <w:lang w:eastAsia="zh-CN"/>
        </w:rPr>
        <w:t>、</w:t>
      </w:r>
    </w:p>
    <w:p w14:paraId="619DA2AF">
      <w:pPr>
        <w:pStyle w:val="2"/>
        <w:numPr>
          <w:ilvl w:val="0"/>
          <w:numId w:val="0"/>
        </w:numPr>
        <w:spacing w:before="189" w:line="222" w:lineRule="auto"/>
        <w:rPr>
          <w:rFonts w:hint="eastAsia" w:ascii="仿宋_GB2312" w:hAnsi="仿宋_GB2312" w:eastAsia="仿宋_GB2312" w:cs="仿宋_GB2312"/>
          <w:b/>
          <w:bCs/>
          <w:spacing w:val="8"/>
          <w:sz w:val="32"/>
          <w:szCs w:val="32"/>
          <w:lang w:eastAsia="zh-CN"/>
        </w:rPr>
      </w:pPr>
    </w:p>
    <w:p w14:paraId="76CCD99B">
      <w:pPr>
        <w:pStyle w:val="2"/>
        <w:numPr>
          <w:ilvl w:val="0"/>
          <w:numId w:val="0"/>
        </w:numPr>
        <w:spacing w:before="189" w:line="222" w:lineRule="auto"/>
        <w:rPr>
          <w:rFonts w:hint="eastAsia" w:ascii="仿宋_GB2312" w:hAnsi="仿宋_GB2312" w:eastAsia="仿宋_GB2312" w:cs="仿宋_GB2312"/>
          <w:b/>
          <w:bCs/>
          <w:spacing w:val="8"/>
          <w:sz w:val="32"/>
          <w:szCs w:val="32"/>
          <w:lang w:eastAsia="zh-CN"/>
        </w:rPr>
      </w:pPr>
    </w:p>
    <w:p w14:paraId="2C4AB027">
      <w:pPr>
        <w:pStyle w:val="2"/>
        <w:numPr>
          <w:ilvl w:val="0"/>
          <w:numId w:val="0"/>
        </w:numPr>
        <w:spacing w:before="189" w:line="222" w:lineRule="auto"/>
        <w:rPr>
          <w:rFonts w:hint="eastAsia" w:ascii="仿宋_GB2312" w:hAnsi="仿宋_GB2312" w:eastAsia="仿宋_GB2312" w:cs="仿宋_GB2312"/>
          <w:b/>
          <w:bCs/>
          <w:spacing w:val="8"/>
          <w:sz w:val="32"/>
          <w:szCs w:val="32"/>
          <w:lang w:eastAsia="zh-CN"/>
        </w:rPr>
      </w:pPr>
    </w:p>
    <w:p w14:paraId="0BD1FCCE">
      <w:pPr>
        <w:pStyle w:val="2"/>
        <w:numPr>
          <w:ilvl w:val="0"/>
          <w:numId w:val="0"/>
        </w:numPr>
        <w:spacing w:before="189" w:line="222" w:lineRule="auto"/>
        <w:rPr>
          <w:rFonts w:hint="eastAsia" w:ascii="仿宋_GB2312" w:hAnsi="仿宋_GB2312" w:eastAsia="仿宋_GB2312" w:cs="仿宋_GB2312"/>
          <w:b/>
          <w:bCs/>
          <w:spacing w:val="8"/>
          <w:sz w:val="32"/>
          <w:szCs w:val="32"/>
          <w:lang w:eastAsia="zh-CN"/>
        </w:rPr>
      </w:pPr>
    </w:p>
    <w:p w14:paraId="4C1AF01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9" w:line="560" w:lineRule="exact"/>
        <w:ind w:firstLine="672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  <w:lang w:val="en-US" w:eastAsia="zh-CN"/>
        </w:rPr>
        <w:t>4.填写完毕后点击“确认”回到申请单界面。</w:t>
      </w:r>
    </w:p>
    <w:p w14:paraId="4EB82DE8">
      <w:pPr>
        <w:pStyle w:val="2"/>
        <w:spacing w:before="186" w:line="320" w:lineRule="auto"/>
        <w:ind w:right="11"/>
        <w:rPr>
          <w:rFonts w:ascii="宋体" w:hAnsi="宋体" w:eastAsia="宋体" w:cs="宋体"/>
          <w:sz w:val="24"/>
          <w:szCs w:val="24"/>
        </w:rPr>
      </w:pPr>
      <w:r>
        <w:drawing>
          <wp:inline distT="0" distB="0" distL="114300" distR="114300">
            <wp:extent cx="5272405" cy="2489835"/>
            <wp:effectExtent l="0" t="0" r="4445" b="5715"/>
            <wp:docPr id="36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2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489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BDED32"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9" w:line="560" w:lineRule="exact"/>
        <w:ind w:firstLine="672" w:firstLineChars="200"/>
        <w:textAlignment w:val="auto"/>
      </w:pPr>
      <w:r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  <w:lang w:val="en-US" w:eastAsia="zh-CN"/>
        </w:rPr>
        <w:t>填写“项目名称”“项目负责人”“联系方式”“经费来源”“经费名称”“申请理由”，并选择对应的“归口管理部门”，完成后可以点击“单据临时保存”，审阅无误后“单据提交审核”；红色字体为必填项。</w:t>
      </w:r>
    </w:p>
    <w:p w14:paraId="37A461EE">
      <w:pPr>
        <w:pStyle w:val="2"/>
        <w:numPr>
          <w:ilvl w:val="0"/>
          <w:numId w:val="0"/>
        </w:numPr>
        <w:spacing w:before="186" w:line="320" w:lineRule="auto"/>
        <w:ind w:right="11" w:rightChars="0"/>
      </w:pPr>
      <w:bookmarkStart w:id="0" w:name="_GoBack"/>
      <w:r>
        <w:drawing>
          <wp:inline distT="0" distB="0" distL="114300" distR="114300">
            <wp:extent cx="5586095" cy="3039745"/>
            <wp:effectExtent l="0" t="0" r="14605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86095" cy="303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599C92F4">
      <w:pPr>
        <w:pStyle w:val="2"/>
        <w:numPr>
          <w:ilvl w:val="0"/>
          <w:numId w:val="0"/>
        </w:numPr>
        <w:spacing w:before="186" w:line="320" w:lineRule="auto"/>
        <w:ind w:right="11" w:rightChars="0"/>
      </w:pPr>
    </w:p>
    <w:p w14:paraId="585D6B8A">
      <w:pPr>
        <w:pStyle w:val="2"/>
        <w:numPr>
          <w:ilvl w:val="0"/>
          <w:numId w:val="0"/>
        </w:numPr>
        <w:spacing w:before="186" w:line="320" w:lineRule="auto"/>
        <w:ind w:right="11" w:rightChars="0"/>
      </w:pPr>
    </w:p>
    <w:p w14:paraId="385E1B6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9" w:line="560" w:lineRule="exact"/>
        <w:ind w:firstLine="672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  <w:lang w:val="en-US" w:eastAsia="zh-CN"/>
        </w:rPr>
        <w:t>6.申报部门领导审核完成后会流转至归口管理部门。</w:t>
      </w:r>
    </w:p>
    <w:p w14:paraId="7904D09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9" w:line="560" w:lineRule="exact"/>
        <w:ind w:firstLine="672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  <w:lang w:val="en-US" w:eastAsia="zh-CN"/>
        </w:rPr>
        <w:t>7.归口管理部门审核后，提交至国有资产与实验室管理处，汇总形成“一上”上报数据。（打开对应单据，可以看到审批流程进度）</w:t>
      </w:r>
    </w:p>
    <w:p w14:paraId="2BF105EE">
      <w:pPr>
        <w:pStyle w:val="2"/>
        <w:spacing w:before="192" w:line="311" w:lineRule="auto"/>
        <w:ind w:right="11"/>
        <w:rPr>
          <w:spacing w:val="6"/>
        </w:rPr>
      </w:pPr>
      <w:r>
        <w:drawing>
          <wp:inline distT="0" distB="0" distL="114300" distR="114300">
            <wp:extent cx="5268595" cy="2651760"/>
            <wp:effectExtent l="0" t="0" r="8255" b="15240"/>
            <wp:docPr id="39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2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651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AAD649">
      <w:pPr>
        <w:pStyle w:val="2"/>
        <w:spacing w:before="237" w:line="221" w:lineRule="auto"/>
        <w:outlineLvl w:val="0"/>
      </w:pPr>
      <w:r>
        <w:rPr>
          <w:rFonts w:hint="eastAsia" w:ascii="方正楷体_GB2312" w:hAnsi="方正楷体_GB2312" w:eastAsia="方正楷体_GB2312" w:cs="方正楷体_GB2312"/>
          <w:b/>
          <w:bCs/>
          <w:spacing w:val="-14"/>
          <w:sz w:val="32"/>
          <w:szCs w:val="32"/>
          <w:lang w:val="en-US" w:eastAsia="zh-CN"/>
        </w:rPr>
        <w:t>二、其他要求</w:t>
      </w:r>
    </w:p>
    <w:p w14:paraId="68DE294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9" w:line="560" w:lineRule="exact"/>
        <w:ind w:firstLine="672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  <w:lang w:val="en-US" w:eastAsia="zh-CN"/>
        </w:rPr>
        <w:t>1.为精简工作流程，且与大额采购项目论证工作保持一致，此次资产预算编报工作中所有涉及签字盖章的论证报告均以PDF格式上传至系统，无需提交纸质档（资产配置预算编报工作与大额采购项目论证工作不冲突，可同步进行）。</w:t>
      </w:r>
    </w:p>
    <w:p w14:paraId="08C909F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9" w:line="560" w:lineRule="exact"/>
        <w:ind w:firstLine="672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  <w:lang w:val="en-US" w:eastAsia="zh-CN"/>
        </w:rPr>
        <w:t>2.为保证项目顺利执行，项目负责人、联系方式（手机号）等信息一经填写，在项目完成前原则上不得变更。</w:t>
      </w:r>
    </w:p>
    <w:p w14:paraId="010F4E3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9" w:line="560" w:lineRule="exact"/>
        <w:ind w:firstLine="67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  <w:lang w:val="en-US" w:eastAsia="zh-CN"/>
        </w:rPr>
        <w:t>3.逾期不提交资产配置计划导致资金无法正常使用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，或未按相关文件规定做好论证，或论证材料不完整、缺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失而导致资产配置预算被核减，</w:t>
      </w:r>
      <w:r>
        <w:rPr>
          <w:rFonts w:hint="eastAsia" w:ascii="仿宋_GB2312" w:hAnsi="仿宋_GB2312" w:eastAsia="仿宋_GB2312" w:cs="仿宋_GB2312"/>
          <w:spacing w:val="-74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由项目填报单位自行负责。</w:t>
      </w:r>
    </w:p>
    <w:p w14:paraId="19DD0694">
      <w:pPr>
        <w:pStyle w:val="2"/>
        <w:spacing w:before="57" w:line="295" w:lineRule="auto"/>
        <w:ind w:left="20" w:right="146" w:firstLine="634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9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报告厅、大剧院等场馆的新增资产配置预算由后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勤管理中心（后勤集团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）申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报。多媒体教室、智慧教室的新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增资产配置预算由信息化建设与管理工作处申报。</w:t>
      </w:r>
    </w:p>
    <w:p w14:paraId="3897836B">
      <w:pPr>
        <w:pStyle w:val="2"/>
        <w:spacing w:before="55" w:line="327" w:lineRule="auto"/>
        <w:ind w:left="24" w:right="146" w:firstLine="65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9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教师</w:t>
      </w:r>
      <w:r>
        <w:rPr>
          <w:rFonts w:hint="eastAsia" w:ascii="仿宋_GB2312" w:hAnsi="仿宋_GB2312" w:eastAsia="仿宋_GB2312" w:cs="仿宋_GB2312"/>
          <w:b/>
          <w:bCs/>
          <w:color w:val="FF0000"/>
          <w:spacing w:val="7"/>
          <w:sz w:val="32"/>
          <w:szCs w:val="32"/>
        </w:rPr>
        <w:t>科研</w:t>
      </w:r>
      <w:r>
        <w:rPr>
          <w:rFonts w:hint="eastAsia" w:ascii="仿宋_GB2312" w:hAnsi="仿宋_GB2312" w:eastAsia="仿宋_GB2312" w:cs="仿宋_GB2312"/>
          <w:b/>
          <w:bCs/>
          <w:color w:val="FF0000"/>
          <w:spacing w:val="7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b/>
          <w:bCs/>
          <w:color w:val="FF0000"/>
          <w:spacing w:val="7"/>
          <w:sz w:val="32"/>
          <w:szCs w:val="32"/>
        </w:rPr>
        <w:t>的学校配套资金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。教师所在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院系资产管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理员在系统中申报，</w:t>
      </w:r>
      <w:r>
        <w:rPr>
          <w:rFonts w:hint="eastAsia" w:ascii="仿宋_GB2312" w:hAnsi="仿宋_GB2312" w:eastAsia="仿宋_GB2312" w:cs="仿宋_GB2312"/>
          <w:b/>
          <w:bCs/>
          <w:color w:val="FF0000"/>
          <w:spacing w:val="7"/>
          <w:sz w:val="32"/>
          <w:szCs w:val="32"/>
        </w:rPr>
        <w:t>归口部门选择科学研究发展院</w:t>
      </w:r>
      <w:r>
        <w:rPr>
          <w:rFonts w:hint="eastAsia" w:ascii="仿宋_GB2312" w:hAnsi="仿宋_GB2312" w:eastAsia="仿宋_GB2312" w:cs="仿宋_GB2312"/>
          <w:b/>
          <w:bCs/>
          <w:color w:val="FF0000"/>
          <w:spacing w:val="7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pacing w:val="15"/>
          <w:sz w:val="32"/>
          <w:szCs w:val="32"/>
        </w:rPr>
        <w:t>项目名称统一为“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XXX</w:t>
      </w:r>
      <w:r>
        <w:rPr>
          <w:rFonts w:hint="eastAsia" w:ascii="仿宋_GB2312" w:hAnsi="仿宋_GB2312" w:eastAsia="仿宋_GB2312" w:cs="仿宋_GB2312"/>
          <w:b/>
          <w:bCs/>
          <w:color w:val="FF0000"/>
          <w:spacing w:val="15"/>
          <w:sz w:val="32"/>
          <w:szCs w:val="32"/>
        </w:rPr>
        <w:t>（教师</w:t>
      </w:r>
      <w:r>
        <w:rPr>
          <w:rFonts w:hint="eastAsia" w:ascii="仿宋_GB2312" w:hAnsi="仿宋_GB2312" w:eastAsia="仿宋_GB2312" w:cs="仿宋_GB2312"/>
          <w:b/>
          <w:bCs/>
          <w:color w:val="FF0000"/>
          <w:spacing w:val="-1"/>
          <w:sz w:val="32"/>
          <w:szCs w:val="32"/>
        </w:rPr>
        <w:t>姓名）科研配套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”，资金来源为“</w:t>
      </w:r>
      <w:r>
        <w:rPr>
          <w:rFonts w:hint="eastAsia" w:ascii="仿宋_GB2312" w:hAnsi="仿宋_GB2312" w:eastAsia="仿宋_GB2312" w:cs="仿宋_GB2312"/>
          <w:b/>
          <w:bCs/>
          <w:color w:val="FF0000"/>
          <w:spacing w:val="-1"/>
          <w:sz w:val="32"/>
          <w:szCs w:val="32"/>
        </w:rPr>
        <w:t>01-校级经费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”。</w:t>
      </w:r>
    </w:p>
    <w:p w14:paraId="66F4E0E0">
      <w:pPr>
        <w:pStyle w:val="2"/>
        <w:spacing w:before="56" w:line="320" w:lineRule="auto"/>
        <w:ind w:left="21" w:firstLine="633"/>
        <w:jc w:val="both"/>
        <w:rPr>
          <w:rFonts w:hint="eastAsia" w:ascii="仿宋_GB2312" w:hAnsi="仿宋_GB2312" w:eastAsia="仿宋_GB2312" w:cs="仿宋_GB2312"/>
          <w:spacing w:val="5"/>
          <w:sz w:val="43"/>
          <w:szCs w:val="43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《湖北师范大学下一年度配置计划审批表》中字段</w:t>
      </w:r>
      <w:r>
        <w:rPr>
          <w:rFonts w:hint="eastAsia" w:ascii="仿宋_GB2312" w:hAnsi="仿宋_GB2312" w:eastAsia="仿宋_GB2312" w:cs="仿宋_GB2312"/>
          <w:b/>
          <w:bCs/>
          <w:color w:val="FF0000"/>
          <w:spacing w:val="7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color w:val="FF0000"/>
          <w:spacing w:val="-105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FF0000"/>
          <w:spacing w:val="7"/>
          <w:sz w:val="32"/>
          <w:szCs w:val="32"/>
        </w:rPr>
        <w:t>国</w:t>
      </w:r>
      <w:r>
        <w:rPr>
          <w:rFonts w:hint="eastAsia" w:ascii="仿宋_GB2312" w:hAnsi="仿宋_GB2312" w:eastAsia="仿宋_GB2312" w:cs="仿宋_GB2312"/>
          <w:b/>
          <w:bCs/>
          <w:color w:val="FF0000"/>
          <w:spacing w:val="-5"/>
          <w:sz w:val="32"/>
          <w:szCs w:val="32"/>
        </w:rPr>
        <w:t>标2022”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</w:rPr>
        <w:t>（参见《固定资产等资产基础分类与代码》）</w:t>
      </w:r>
      <w:r>
        <w:rPr>
          <w:rFonts w:hint="eastAsia" w:ascii="仿宋_GB2312" w:hAnsi="仿宋_GB2312" w:eastAsia="仿宋_GB2312" w:cs="仿宋_GB2312"/>
          <w:b/>
          <w:bCs/>
          <w:color w:val="FF0000"/>
          <w:spacing w:val="6"/>
          <w:sz w:val="32"/>
          <w:szCs w:val="32"/>
        </w:rPr>
        <w:t>具有唯一性，请务必准确填写。</w:t>
      </w:r>
      <w:r>
        <w:rPr>
          <w:rFonts w:hint="eastAsia" w:ascii="仿宋_GB2312" w:hAnsi="仿宋_GB2312" w:eastAsia="仿宋_GB2312" w:cs="仿宋_GB2312"/>
          <w:spacing w:val="15"/>
          <w:sz w:val="32"/>
          <w:szCs w:val="32"/>
        </w:rPr>
        <w:t>通用设备或家具可以限定规格但不得限定品牌型号。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angSong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1" w:fontKey="{AE276B13-4B30-427F-9965-43E22383C378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4BE98309-C096-4D62-9617-592D55CA23CF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238AA7E6-0196-4686-B28E-3174765E9973}"/>
  </w:font>
  <w:font w:name="WPSEMBED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5B9778"/>
    <w:multiLevelType w:val="singleLevel"/>
    <w:tmpl w:val="CA5B9778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568964F"/>
    <w:multiLevelType w:val="singleLevel"/>
    <w:tmpl w:val="4568964F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0A166F"/>
    <w:rsid w:val="025312A7"/>
    <w:rsid w:val="060A166F"/>
    <w:rsid w:val="0C477869"/>
    <w:rsid w:val="0C896316"/>
    <w:rsid w:val="28627E7A"/>
    <w:rsid w:val="34690693"/>
    <w:rsid w:val="39DC7C36"/>
    <w:rsid w:val="445D1E68"/>
    <w:rsid w:val="5A047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749</Words>
  <Characters>772</Characters>
  <Lines>0</Lines>
  <Paragraphs>0</Paragraphs>
  <TotalTime>4</TotalTime>
  <ScaleCrop>false</ScaleCrop>
  <LinksUpToDate>false</LinksUpToDate>
  <CharactersWithSpaces>774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2025-06-19T03:12:00Z</dcterms:created>
  <dc:creator>王敏敏</dc:creator>
  <cp:lastModifiedBy>冯燕美</cp:lastModifiedBy>
  <dcterms:modified xsi:type="dcterms:W3CDTF">2026-06-12T02:26:09Z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9B17286A03D6434CBD4D0DF35771A0C4_11</vt:lpwstr>
  </property>
  <property fmtid="{D5CDD505-2E9C-101B-9397-08002B2CF9AE}" pid="4" name="KSOTemplateDocerSaveRecord">
    <vt:lpwstr>eyJoZGlkIjoiY2I5MTQ4N2IzNDQ3NmMxNGQwMzY0YmEzYjEwNWVhNWEiLCJ1c2VySWQiOiIxNzQ1OTg3NzI5In0=</vt:lpwstr>
  </property>
</Properties>
</file>