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DD4A8">
      <w:pPr>
        <w:jc w:val="center"/>
        <w:rPr>
          <w:spacing w:val="-14"/>
        </w:rPr>
      </w:pPr>
      <w:r>
        <w:rPr>
          <w:rFonts w:hint="eastAsia" w:ascii="华文中宋" w:hAnsi="华文中宋" w:eastAsia="华文中宋" w:cs="华文中宋"/>
          <w:spacing w:val="3"/>
          <w:sz w:val="43"/>
          <w:szCs w:val="43"/>
          <w:lang w:val="en-US" w:eastAsia="zh-CN"/>
        </w:rPr>
        <w:t>2026</w:t>
      </w:r>
      <w:r>
        <w:rPr>
          <w:rFonts w:ascii="华文中宋" w:hAnsi="华文中宋" w:eastAsia="华文中宋" w:cs="华文中宋"/>
          <w:spacing w:val="3"/>
          <w:sz w:val="43"/>
          <w:szCs w:val="43"/>
        </w:rPr>
        <w:t>年</w:t>
      </w:r>
      <w:r>
        <w:rPr>
          <w:rFonts w:hint="eastAsia" w:ascii="华文中宋" w:hAnsi="华文中宋" w:eastAsia="华文中宋" w:cs="华文中宋"/>
          <w:spacing w:val="3"/>
          <w:sz w:val="43"/>
          <w:szCs w:val="43"/>
          <w:lang w:val="en-US" w:eastAsia="zh-CN"/>
        </w:rPr>
        <w:t>度</w:t>
      </w:r>
      <w:r>
        <w:rPr>
          <w:rFonts w:ascii="华文中宋" w:hAnsi="华文中宋" w:eastAsia="华文中宋" w:cs="华文中宋"/>
          <w:spacing w:val="3"/>
          <w:sz w:val="43"/>
          <w:szCs w:val="43"/>
        </w:rPr>
        <w:t>新增资产配置预算</w:t>
      </w:r>
      <w:r>
        <w:rPr>
          <w:rFonts w:hint="eastAsia" w:ascii="华文中宋" w:hAnsi="华文中宋" w:eastAsia="华文中宋" w:cs="华文中宋"/>
          <w:spacing w:val="5"/>
          <w:sz w:val="43"/>
          <w:szCs w:val="43"/>
          <w:lang w:val="en-US" w:eastAsia="zh-CN"/>
        </w:rPr>
        <w:t>填</w:t>
      </w:r>
      <w:r>
        <w:rPr>
          <w:rFonts w:ascii="华文中宋" w:hAnsi="华文中宋" w:eastAsia="华文中宋" w:cs="华文中宋"/>
          <w:spacing w:val="5"/>
          <w:sz w:val="43"/>
          <w:szCs w:val="43"/>
        </w:rPr>
        <w:t>报</w:t>
      </w:r>
      <w:r>
        <w:rPr>
          <w:rFonts w:hint="eastAsia" w:ascii="华文中宋" w:hAnsi="华文中宋" w:eastAsia="华文中宋" w:cs="华文中宋"/>
          <w:spacing w:val="5"/>
          <w:sz w:val="43"/>
          <w:szCs w:val="43"/>
          <w:lang w:val="en-US" w:eastAsia="zh-CN"/>
        </w:rPr>
        <w:t>指南</w:t>
      </w:r>
    </w:p>
    <w:p w14:paraId="74C14E6A">
      <w:pPr>
        <w:pStyle w:val="2"/>
        <w:numPr>
          <w:ilvl w:val="0"/>
          <w:numId w:val="0"/>
        </w:numPr>
        <w:spacing w:before="192" w:line="219" w:lineRule="auto"/>
        <w:jc w:val="both"/>
        <w:rPr>
          <w:rFonts w:hint="default" w:ascii="仿宋_GB2312" w:hAnsi="仿宋_GB2312" w:eastAsia="仿宋_GB2312" w:cs="仿宋_GB2312"/>
          <w:b/>
          <w:bCs/>
          <w:spacing w:val="-14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pacing w:val="-14"/>
          <w:sz w:val="32"/>
          <w:szCs w:val="32"/>
          <w:lang w:val="en-US" w:eastAsia="zh-CN"/>
        </w:rPr>
        <w:t>一、具体步骤</w:t>
      </w:r>
    </w:p>
    <w:p w14:paraId="5AA320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1.进入网上办事大厅——资产管理系统。</w:t>
      </w:r>
    </w:p>
    <w:p w14:paraId="0CFD3FE0">
      <w:pPr>
        <w:pStyle w:val="2"/>
        <w:numPr>
          <w:ilvl w:val="0"/>
          <w:numId w:val="0"/>
        </w:numPr>
        <w:spacing w:before="192" w:line="219" w:lineRule="auto"/>
        <w:jc w:val="center"/>
      </w:pPr>
      <w:r>
        <w:drawing>
          <wp:inline distT="0" distB="0" distL="114300" distR="114300">
            <wp:extent cx="4805680" cy="2639695"/>
            <wp:effectExtent l="0" t="0" r="13970" b="825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5680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40FA7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2.选择“配置计划——配置一上——一上申请——配置申请——下一年度配置计划审批表”。</w:t>
      </w:r>
    </w:p>
    <w:p w14:paraId="3BD45921">
      <w:pPr>
        <w:pStyle w:val="2"/>
        <w:numPr>
          <w:ilvl w:val="0"/>
          <w:numId w:val="0"/>
        </w:numPr>
        <w:spacing w:before="273" w:line="318" w:lineRule="auto"/>
        <w:ind w:right="252" w:rightChars="0"/>
        <w:jc w:val="center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37025" cy="3277235"/>
            <wp:effectExtent l="0" t="0" r="0" b="1841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r="-3554" b="19305"/>
                    <a:stretch>
                      <a:fillRect/>
                    </a:stretch>
                  </pic:blipFill>
                  <pic:spPr>
                    <a:xfrm>
                      <a:off x="0" y="0"/>
                      <a:ext cx="4137025" cy="3277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40020" cy="3166745"/>
            <wp:effectExtent l="0" t="0" r="17780" b="1460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0020" cy="3166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6669EE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224" w:lineRule="auto"/>
        <w:ind w:firstLine="672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3.点击“添加明细”。</w:t>
      </w:r>
    </w:p>
    <w:p w14:paraId="03FCCD72">
      <w:pPr>
        <w:pStyle w:val="2"/>
        <w:numPr>
          <w:ilvl w:val="0"/>
          <w:numId w:val="0"/>
        </w:numPr>
        <w:spacing w:before="189" w:line="222" w:lineRule="auto"/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35575" cy="3823335"/>
            <wp:effectExtent l="0" t="0" r="3175" b="571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3823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C1AF0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4.填写完毕后点击“确认”回到申请单界面。</w:t>
      </w:r>
    </w:p>
    <w:p w14:paraId="4EB82DE8">
      <w:pPr>
        <w:pStyle w:val="2"/>
        <w:spacing w:before="186" w:line="320" w:lineRule="auto"/>
        <w:ind w:righ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73675" cy="2719070"/>
            <wp:effectExtent l="0" t="0" r="3175" b="508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19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094929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5.填写“项目名称”“项目负责人”“联系方式”“经费来源”“经费名称”“申请理由”，并选择对应的“归口管理部门”，完成后可以点击“单据临时保存”，审阅无误后“单据提交审核”；红色字体为必填项。</w:t>
      </w:r>
    </w:p>
    <w:p w14:paraId="1AF1DF5E">
      <w:pPr>
        <w:pStyle w:val="2"/>
        <w:numPr>
          <w:ilvl w:val="0"/>
          <w:numId w:val="0"/>
        </w:numPr>
        <w:spacing w:before="186" w:line="320" w:lineRule="auto"/>
        <w:ind w:right="11" w:rightChars="0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76215" cy="2881630"/>
            <wp:effectExtent l="0" t="0" r="635" b="1397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2881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85E1B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6.申报部门领导审核完成后会流转至归口管理部门。</w:t>
      </w:r>
    </w:p>
    <w:p w14:paraId="7904D0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7.归口管理部门审核后，提交至国有资产与实验室管理处，汇总形成“一上”上报数据。（打开对应单据，可以看到审批流程进度）</w:t>
      </w:r>
    </w:p>
    <w:p w14:paraId="2BF105EE">
      <w:pPr>
        <w:pStyle w:val="2"/>
        <w:spacing w:before="192" w:line="311" w:lineRule="auto"/>
        <w:ind w:right="11"/>
        <w:rPr>
          <w:spacing w:val="6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79390" cy="2896870"/>
            <wp:effectExtent l="0" t="0" r="16510" b="17780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9390" cy="2896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8AAD649">
      <w:pPr>
        <w:pStyle w:val="2"/>
        <w:spacing w:before="237" w:line="221" w:lineRule="auto"/>
        <w:outlineLvl w:val="0"/>
      </w:pPr>
      <w:r>
        <w:rPr>
          <w:rFonts w:hint="eastAsia" w:ascii="方正楷体_GB2312" w:hAnsi="方正楷体_GB2312" w:eastAsia="方正楷体_GB2312" w:cs="方正楷体_GB2312"/>
          <w:b/>
          <w:bCs/>
          <w:spacing w:val="-14"/>
          <w:sz w:val="32"/>
          <w:szCs w:val="32"/>
          <w:lang w:val="en-US" w:eastAsia="zh-CN"/>
        </w:rPr>
        <w:t>二、其他要求</w:t>
      </w:r>
    </w:p>
    <w:p w14:paraId="68DE29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1.为精简工作流程，且与大额采购项目论证工作保持一致，此次资产预算编报工作中所有涉及签字盖章的论证报告均以PDF格式上传至系统，无需提交纸质档（资产配置预算编报工作与大额采购项目论证工作不冲突，可同步进行）。</w:t>
      </w:r>
    </w:p>
    <w:p w14:paraId="08C909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2.为保证项目顺利执行，项目负责人、联系方式（手机号）等信息一经填写，在项目完成前原则上不得变更。</w:t>
      </w:r>
    </w:p>
    <w:p w14:paraId="010F4E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3.逾期不提交资产配置计划导致资金无法正常使用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，或未按相关文件规定做好论证，或论证材料不完整、缺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失而导致资产配置预算被核减，</w:t>
      </w:r>
      <w:r>
        <w:rPr>
          <w:rFonts w:hint="eastAsia" w:ascii="仿宋_GB2312" w:hAnsi="仿宋_GB2312" w:eastAsia="仿宋_GB2312" w:cs="仿宋_GB2312"/>
          <w:spacing w:val="-7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由项目填报单位自行负责。</w:t>
      </w:r>
    </w:p>
    <w:p w14:paraId="19DD0694">
      <w:pPr>
        <w:pStyle w:val="2"/>
        <w:spacing w:before="57" w:line="295" w:lineRule="auto"/>
        <w:ind w:left="20" w:right="146" w:firstLine="634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报告厅、大剧院等场馆的新增资产配置预算由后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勤管理中心（后勤集团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）申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报。多媒体教室、智慧教室的新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增资产配置预算由信息化建设与管理工作处申报。</w:t>
      </w:r>
    </w:p>
    <w:p w14:paraId="3897836B">
      <w:pPr>
        <w:pStyle w:val="2"/>
        <w:spacing w:before="55" w:line="327" w:lineRule="auto"/>
        <w:ind w:left="24" w:right="146" w:firstLine="65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教师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科研</w:t>
      </w: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  <w:lang w:eastAsia="zh-CN"/>
        </w:rPr>
        <w:t>项目</w:t>
      </w:r>
      <w:bookmarkEnd w:id="0"/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的学校配套资金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。教师所在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院系资产管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理员在系统中申报，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归口部门选择科学研究发展院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项目名称统一为“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XXX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15"/>
          <w:sz w:val="32"/>
          <w:szCs w:val="32"/>
        </w:rPr>
        <w:t>（教师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-1"/>
          <w:sz w:val="32"/>
          <w:szCs w:val="32"/>
        </w:rPr>
        <w:t>姓名）科研配套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”，资金来源为“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-1"/>
          <w:sz w:val="32"/>
          <w:szCs w:val="32"/>
        </w:rPr>
        <w:t>01-校级经费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”。</w:t>
      </w:r>
    </w:p>
    <w:p w14:paraId="66F4E0E0">
      <w:pPr>
        <w:pStyle w:val="2"/>
        <w:spacing w:before="56" w:line="320" w:lineRule="auto"/>
        <w:ind w:left="21" w:firstLine="633"/>
        <w:jc w:val="both"/>
        <w:rPr>
          <w:rFonts w:hint="eastAsia" w:ascii="仿宋_GB2312" w:hAnsi="仿宋_GB2312" w:eastAsia="仿宋_GB2312" w:cs="仿宋_GB2312"/>
          <w:spacing w:val="5"/>
          <w:sz w:val="43"/>
          <w:szCs w:val="43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《湖北师范大学下一年度配置计划审批表》中字段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FF0000"/>
          <w:spacing w:val="-10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-5"/>
          <w:sz w:val="32"/>
          <w:szCs w:val="32"/>
        </w:rPr>
        <w:t>标2022”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（参见《固定资产等资产基础分类与代码》）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6"/>
          <w:sz w:val="32"/>
          <w:szCs w:val="32"/>
        </w:rPr>
        <w:t>具有唯一性，请务必准确填写。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通用设备或家具可以限定规格但不得限定品牌型号。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BC07D054-B924-4ED8-8696-7D774A30B82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C14635AC-714B-46F8-B5F6-675E22C1374F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532FF57-D3F7-4FF5-B1E4-878B68C5245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A166F"/>
    <w:rsid w:val="060A166F"/>
    <w:rsid w:val="0C477869"/>
    <w:rsid w:val="0C896316"/>
    <w:rsid w:val="39DC7C36"/>
    <w:rsid w:val="5A04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755</Words>
  <Characters>780</Characters>
  <Lines>0</Lines>
  <Paragraphs>0</Paragraphs>
  <TotalTime>134</TotalTime>
  <ScaleCrop>false</ScaleCrop>
  <LinksUpToDate>false</LinksUpToDate>
  <CharactersWithSpaces>782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2025-06-19T03:12:00Z</dcterms:created>
  <dc:creator>王敏敏</dc:creator>
  <cp:lastModifiedBy>王敏敏</cp:lastModifiedBy>
  <dcterms:modified xsi:type="dcterms:W3CDTF">2025-06-27T08:34:12Z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9B17286A03D6434CBD4D0DF35771A0C4_11</vt:lpwstr>
  </property>
  <property fmtid="{D5CDD505-2E9C-101B-9397-08002B2CF9AE}" pid="4" name="KSOTemplateDocerSaveRecord">
    <vt:lpwstr>eyJoZGlkIjoiMjExNjQyYTlmZmJlZWRmNWRjMWRiOTEzZmQzM2M0YzQiLCJ1c2VySWQiOiIxNjYzNzcwMjM1In0=</vt:lpwstr>
  </property>
</Properties>
</file>